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B2FB5" w14:textId="77777777" w:rsidR="0004784E" w:rsidRPr="0004784E" w:rsidRDefault="0004784E" w:rsidP="00EE5C0D">
      <w:pPr>
        <w:jc w:val="center"/>
        <w:rPr>
          <w:rFonts w:ascii="Times New Roman" w:eastAsia="Times New Roman" w:hAnsi="Times New Roman" w:cs="Times New Roman"/>
          <w:szCs w:val="24"/>
          <w:lang w:val="es-CO"/>
        </w:rPr>
      </w:pPr>
      <w:r w:rsidRPr="0004784E">
        <w:rPr>
          <w:rFonts w:ascii="Times New Roman" w:eastAsia="Times New Roman" w:hAnsi="Times New Roman" w:cs="Times New Roman"/>
          <w:b/>
          <w:szCs w:val="24"/>
          <w:lang w:val="es-CO"/>
        </w:rPr>
        <w:t>OFICIO Nº 001669</w:t>
      </w:r>
    </w:p>
    <w:p w14:paraId="4982173C" w14:textId="77777777" w:rsidR="0004784E" w:rsidRPr="0004784E" w:rsidRDefault="0004784E" w:rsidP="00EE5C0D">
      <w:pPr>
        <w:jc w:val="center"/>
        <w:rPr>
          <w:rFonts w:ascii="Times New Roman" w:eastAsia="Times New Roman" w:hAnsi="Times New Roman" w:cs="Times New Roman"/>
          <w:szCs w:val="24"/>
          <w:lang w:val="es-CO"/>
        </w:rPr>
      </w:pPr>
      <w:r w:rsidRPr="0004784E">
        <w:rPr>
          <w:rFonts w:ascii="Times New Roman" w:eastAsia="Times New Roman" w:hAnsi="Times New Roman" w:cs="Times New Roman"/>
          <w:b/>
          <w:szCs w:val="24"/>
          <w:lang w:val="es-CO"/>
        </w:rPr>
        <w:t>25-09-2018</w:t>
      </w:r>
    </w:p>
    <w:p w14:paraId="1EC23988" w14:textId="77777777" w:rsidR="0004784E" w:rsidRPr="0004784E" w:rsidRDefault="0004784E" w:rsidP="00EE5C0D">
      <w:pPr>
        <w:jc w:val="center"/>
        <w:rPr>
          <w:rFonts w:ascii="Times New Roman" w:eastAsia="Times New Roman" w:hAnsi="Times New Roman" w:cs="Times New Roman"/>
          <w:szCs w:val="24"/>
          <w:lang w:val="es-CO"/>
        </w:rPr>
      </w:pPr>
      <w:r w:rsidRPr="0004784E">
        <w:rPr>
          <w:rFonts w:ascii="Times New Roman" w:eastAsia="Times New Roman" w:hAnsi="Times New Roman" w:cs="Times New Roman"/>
          <w:b/>
          <w:szCs w:val="24"/>
          <w:lang w:val="es-CO"/>
        </w:rPr>
        <w:t>DIAN</w:t>
      </w:r>
    </w:p>
    <w:p w14:paraId="1C25DCFE" w14:textId="77777777" w:rsidR="0004784E" w:rsidRPr="0004784E" w:rsidRDefault="0004784E" w:rsidP="00EE5C0D">
      <w:pPr>
        <w:jc w:val="both"/>
        <w:rPr>
          <w:rFonts w:ascii="Times New Roman" w:eastAsia="Times New Roman" w:hAnsi="Times New Roman" w:cs="Times New Roman"/>
          <w:szCs w:val="24"/>
          <w:lang w:val="es-CO"/>
        </w:rPr>
      </w:pPr>
      <w:r w:rsidRPr="0004784E">
        <w:rPr>
          <w:rFonts w:ascii="Times New Roman" w:eastAsia="Times New Roman" w:hAnsi="Times New Roman" w:cs="Times New Roman"/>
          <w:b/>
          <w:szCs w:val="24"/>
          <w:lang w:val="es-CO"/>
        </w:rPr>
        <w:t> </w:t>
      </w:r>
    </w:p>
    <w:p w14:paraId="739BB3CB" w14:textId="77777777" w:rsidR="0004784E" w:rsidRPr="0004784E" w:rsidRDefault="0004784E" w:rsidP="00EE5C0D">
      <w:pPr>
        <w:jc w:val="both"/>
        <w:rPr>
          <w:rFonts w:ascii="Times New Roman" w:eastAsia="Times New Roman" w:hAnsi="Times New Roman" w:cs="Times New Roman"/>
          <w:szCs w:val="24"/>
          <w:lang w:val="es-CO"/>
        </w:rPr>
      </w:pPr>
      <w:r w:rsidRPr="0004784E">
        <w:rPr>
          <w:rFonts w:ascii="Times New Roman" w:eastAsia="Times New Roman" w:hAnsi="Times New Roman" w:cs="Times New Roman"/>
          <w:b/>
          <w:szCs w:val="24"/>
          <w:lang w:val="es-CO"/>
        </w:rPr>
        <w:t> </w:t>
      </w:r>
    </w:p>
    <w:p w14:paraId="374D6370" w14:textId="77777777" w:rsidR="0004784E" w:rsidRPr="0004784E" w:rsidRDefault="0004784E" w:rsidP="00EE5C0D">
      <w:pPr>
        <w:jc w:val="both"/>
        <w:rPr>
          <w:rFonts w:ascii="Times New Roman" w:eastAsia="Times New Roman" w:hAnsi="Times New Roman" w:cs="Times New Roman"/>
          <w:szCs w:val="24"/>
          <w:lang w:val="es-CO"/>
        </w:rPr>
      </w:pPr>
      <w:r w:rsidRPr="0004784E">
        <w:rPr>
          <w:rFonts w:ascii="Times New Roman" w:eastAsia="Times New Roman" w:hAnsi="Times New Roman" w:cs="Times New Roman"/>
          <w:szCs w:val="24"/>
          <w:lang w:val="es-CO"/>
        </w:rPr>
        <w:t>Subdirección de Gestión Normativa y Doctrina</w:t>
      </w:r>
    </w:p>
    <w:p w14:paraId="2EECA0B9" w14:textId="77777777" w:rsidR="0004784E" w:rsidRPr="0004784E" w:rsidRDefault="0004784E" w:rsidP="00EE5C0D">
      <w:pPr>
        <w:jc w:val="both"/>
        <w:rPr>
          <w:rFonts w:ascii="Times New Roman" w:eastAsia="Times New Roman" w:hAnsi="Times New Roman" w:cs="Times New Roman"/>
          <w:szCs w:val="24"/>
        </w:rPr>
      </w:pPr>
      <w:r w:rsidRPr="0004784E">
        <w:rPr>
          <w:rFonts w:ascii="Times New Roman" w:eastAsia="Times New Roman" w:hAnsi="Times New Roman" w:cs="Times New Roman"/>
          <w:szCs w:val="24"/>
        </w:rPr>
        <w:t>Bogotá, D.C.</w:t>
      </w:r>
    </w:p>
    <w:p w14:paraId="46DE954D" w14:textId="77777777" w:rsidR="0004784E" w:rsidRPr="0004784E" w:rsidRDefault="0004784E" w:rsidP="00EE5C0D">
      <w:pPr>
        <w:jc w:val="both"/>
        <w:rPr>
          <w:rFonts w:ascii="Times New Roman" w:eastAsia="Times New Roman" w:hAnsi="Times New Roman" w:cs="Times New Roman"/>
          <w:szCs w:val="24"/>
        </w:rPr>
      </w:pPr>
      <w:r w:rsidRPr="0004784E">
        <w:rPr>
          <w:rFonts w:ascii="Times New Roman" w:eastAsia="Times New Roman" w:hAnsi="Times New Roman" w:cs="Times New Roman"/>
          <w:szCs w:val="24"/>
        </w:rPr>
        <w:t>100202208- 001669</w:t>
      </w:r>
    </w:p>
    <w:p w14:paraId="6412785F" w14:textId="77777777" w:rsidR="0004784E" w:rsidRPr="0004784E" w:rsidRDefault="0004784E" w:rsidP="00EE5C0D">
      <w:pPr>
        <w:jc w:val="both"/>
        <w:rPr>
          <w:rFonts w:ascii="Times New Roman" w:eastAsia="Times New Roman" w:hAnsi="Times New Roman" w:cs="Times New Roman"/>
          <w:szCs w:val="24"/>
        </w:rPr>
      </w:pPr>
      <w:r w:rsidRPr="0004784E">
        <w:rPr>
          <w:rFonts w:ascii="Times New Roman" w:eastAsia="Times New Roman" w:hAnsi="Times New Roman" w:cs="Times New Roman"/>
          <w:szCs w:val="24"/>
        </w:rPr>
        <w:t> </w:t>
      </w:r>
    </w:p>
    <w:p w14:paraId="33A0C6B4" w14:textId="77777777" w:rsidR="0004784E" w:rsidRPr="0004784E" w:rsidRDefault="0004784E" w:rsidP="00EE5C0D">
      <w:pPr>
        <w:jc w:val="both"/>
        <w:rPr>
          <w:rFonts w:ascii="Times New Roman" w:eastAsia="Times New Roman" w:hAnsi="Times New Roman" w:cs="Times New Roman"/>
          <w:szCs w:val="24"/>
        </w:rPr>
      </w:pPr>
      <w:proofErr w:type="spellStart"/>
      <w:r w:rsidRPr="0004784E">
        <w:rPr>
          <w:rFonts w:ascii="Times New Roman" w:eastAsia="Times New Roman" w:hAnsi="Times New Roman" w:cs="Times New Roman"/>
          <w:szCs w:val="24"/>
        </w:rPr>
        <w:t>Señor</w:t>
      </w:r>
      <w:proofErr w:type="spellEnd"/>
    </w:p>
    <w:p w14:paraId="39F3BA56" w14:textId="77777777" w:rsidR="0004784E" w:rsidRPr="0004784E" w:rsidRDefault="0004784E" w:rsidP="00EE5C0D">
      <w:pPr>
        <w:jc w:val="both"/>
        <w:rPr>
          <w:rFonts w:ascii="Times New Roman" w:eastAsia="Times New Roman" w:hAnsi="Times New Roman" w:cs="Times New Roman"/>
          <w:szCs w:val="24"/>
        </w:rPr>
      </w:pPr>
      <w:r w:rsidRPr="0004784E">
        <w:rPr>
          <w:rFonts w:ascii="Times New Roman" w:eastAsia="Times New Roman" w:hAnsi="Times New Roman" w:cs="Times New Roman"/>
          <w:b/>
          <w:szCs w:val="24"/>
        </w:rPr>
        <w:t>WILLIAM OJEDA QUIROZ</w:t>
      </w:r>
    </w:p>
    <w:p w14:paraId="56405201" w14:textId="77777777" w:rsidR="0004784E" w:rsidRPr="0004784E" w:rsidRDefault="00EE5C0D" w:rsidP="00EE5C0D">
      <w:pPr>
        <w:jc w:val="both"/>
        <w:rPr>
          <w:rFonts w:ascii="Times New Roman" w:eastAsia="Times New Roman" w:hAnsi="Times New Roman" w:cs="Times New Roman"/>
          <w:szCs w:val="24"/>
          <w:lang w:val="es-CO"/>
        </w:rPr>
      </w:pPr>
      <w:hyperlink r:id="rId4" w:history="1">
        <w:r w:rsidR="0004784E" w:rsidRPr="0004784E">
          <w:rPr>
            <w:rFonts w:ascii="Times New Roman" w:eastAsia="Times New Roman" w:hAnsi="Times New Roman" w:cs="Times New Roman"/>
            <w:szCs w:val="24"/>
            <w:u w:val="single"/>
            <w:lang w:val="es-CO"/>
          </w:rPr>
          <w:t>wiojeda@gmail.com</w:t>
        </w:r>
      </w:hyperlink>
    </w:p>
    <w:p w14:paraId="7C96C541" w14:textId="77777777" w:rsidR="0004784E" w:rsidRPr="0004784E" w:rsidRDefault="0004784E" w:rsidP="00EE5C0D">
      <w:pPr>
        <w:jc w:val="both"/>
        <w:rPr>
          <w:rFonts w:ascii="Times New Roman" w:eastAsia="Times New Roman" w:hAnsi="Times New Roman" w:cs="Times New Roman"/>
          <w:szCs w:val="24"/>
          <w:lang w:val="es-CO"/>
        </w:rPr>
      </w:pPr>
      <w:r w:rsidRPr="0004784E">
        <w:rPr>
          <w:rFonts w:ascii="Times New Roman" w:eastAsia="Times New Roman" w:hAnsi="Times New Roman" w:cs="Times New Roman"/>
          <w:szCs w:val="24"/>
          <w:lang w:val="es-CO"/>
        </w:rPr>
        <w:t>Calle 64 A N° 52-53 Torre 9 Apto 1204</w:t>
      </w:r>
    </w:p>
    <w:p w14:paraId="3F1A4719" w14:textId="77777777" w:rsidR="0004784E" w:rsidRPr="0004784E" w:rsidRDefault="0004784E" w:rsidP="00EE5C0D">
      <w:pPr>
        <w:jc w:val="both"/>
        <w:rPr>
          <w:rFonts w:ascii="Times New Roman" w:eastAsia="Times New Roman" w:hAnsi="Times New Roman" w:cs="Times New Roman"/>
          <w:szCs w:val="24"/>
          <w:lang w:val="es-CO"/>
        </w:rPr>
      </w:pPr>
      <w:r w:rsidRPr="0004784E">
        <w:rPr>
          <w:rFonts w:ascii="Times New Roman" w:eastAsia="Times New Roman" w:hAnsi="Times New Roman" w:cs="Times New Roman"/>
          <w:szCs w:val="24"/>
          <w:lang w:val="es-CO"/>
        </w:rPr>
        <w:t>Bogotá D.C.</w:t>
      </w:r>
    </w:p>
    <w:p w14:paraId="6E2666EA" w14:textId="77777777" w:rsidR="0004784E" w:rsidRPr="0004784E" w:rsidRDefault="0004784E" w:rsidP="00EE5C0D">
      <w:pPr>
        <w:jc w:val="both"/>
        <w:rPr>
          <w:rFonts w:ascii="Times New Roman" w:eastAsia="Times New Roman" w:hAnsi="Times New Roman" w:cs="Times New Roman"/>
          <w:szCs w:val="24"/>
          <w:lang w:val="es-CO"/>
        </w:rPr>
      </w:pPr>
      <w:r w:rsidRPr="0004784E">
        <w:rPr>
          <w:rFonts w:ascii="Times New Roman" w:eastAsia="Times New Roman" w:hAnsi="Times New Roman" w:cs="Times New Roman"/>
          <w:szCs w:val="24"/>
          <w:lang w:val="es-CO"/>
        </w:rPr>
        <w:t> </w:t>
      </w:r>
    </w:p>
    <w:p w14:paraId="5247213B" w14:textId="77777777" w:rsidR="0004784E" w:rsidRPr="0004784E" w:rsidRDefault="0004784E" w:rsidP="00EE5C0D">
      <w:pPr>
        <w:jc w:val="both"/>
        <w:rPr>
          <w:rFonts w:ascii="Times New Roman" w:eastAsia="Times New Roman" w:hAnsi="Times New Roman" w:cs="Times New Roman"/>
          <w:szCs w:val="24"/>
          <w:lang w:val="es-CO"/>
        </w:rPr>
      </w:pPr>
      <w:proofErr w:type="spellStart"/>
      <w:r w:rsidRPr="0004784E">
        <w:rPr>
          <w:rFonts w:ascii="Times New Roman" w:eastAsia="Times New Roman" w:hAnsi="Times New Roman" w:cs="Times New Roman"/>
          <w:b/>
          <w:szCs w:val="24"/>
          <w:lang w:val="es-CO"/>
        </w:rPr>
        <w:t>Ref</w:t>
      </w:r>
      <w:proofErr w:type="spellEnd"/>
      <w:r w:rsidRPr="0004784E">
        <w:rPr>
          <w:rFonts w:ascii="Times New Roman" w:eastAsia="Times New Roman" w:hAnsi="Times New Roman" w:cs="Times New Roman"/>
          <w:b/>
          <w:szCs w:val="24"/>
          <w:lang w:val="es-CO"/>
        </w:rPr>
        <w:t>:</w:t>
      </w:r>
      <w:r w:rsidRPr="0004784E">
        <w:rPr>
          <w:rFonts w:ascii="Times New Roman" w:eastAsia="Times New Roman" w:hAnsi="Times New Roman" w:cs="Times New Roman"/>
          <w:szCs w:val="24"/>
          <w:lang w:val="es-CO"/>
        </w:rPr>
        <w:t xml:space="preserve"> Radicado 1000041826 del 24/07/2018</w:t>
      </w:r>
    </w:p>
    <w:p w14:paraId="0DD2C8F3" w14:textId="77777777" w:rsidR="0004784E" w:rsidRPr="0004784E" w:rsidRDefault="0004784E" w:rsidP="00EE5C0D">
      <w:pPr>
        <w:jc w:val="both"/>
        <w:rPr>
          <w:rFonts w:ascii="Times New Roman" w:eastAsia="Times New Roman" w:hAnsi="Times New Roman" w:cs="Times New Roman"/>
          <w:szCs w:val="24"/>
          <w:lang w:val="es-CO"/>
        </w:rPr>
      </w:pPr>
      <w:r w:rsidRPr="0004784E">
        <w:rPr>
          <w:rFonts w:ascii="Times New Roman" w:eastAsia="Times New Roman" w:hAnsi="Times New Roman" w:cs="Times New Roman"/>
          <w:szCs w:val="24"/>
          <w:lang w:val="es-CO"/>
        </w:rPr>
        <w:t> </w:t>
      </w:r>
    </w:p>
    <w:tbl>
      <w:tblPr>
        <w:tblW w:w="0" w:type="auto"/>
        <w:tblLook w:val="04A0" w:firstRow="1" w:lastRow="0" w:firstColumn="1" w:lastColumn="0" w:noHBand="0" w:noVBand="1"/>
      </w:tblPr>
      <w:tblGrid>
        <w:gridCol w:w="1969"/>
        <w:gridCol w:w="276"/>
        <w:gridCol w:w="276"/>
        <w:gridCol w:w="5082"/>
      </w:tblGrid>
      <w:tr w:rsidR="0004784E" w:rsidRPr="00EE5C0D" w14:paraId="492BBE81" w14:textId="77777777" w:rsidTr="0004784E">
        <w:tc>
          <w:tcPr>
            <w:tcW w:w="0" w:type="auto"/>
            <w:tcBorders>
              <w:top w:val="nil"/>
              <w:left w:val="nil"/>
              <w:bottom w:val="nil"/>
              <w:right w:val="nil"/>
            </w:tcBorders>
            <w:shd w:val="clear" w:color="auto" w:fill="auto"/>
            <w:hideMark/>
          </w:tcPr>
          <w:p w14:paraId="6A73D70F" w14:textId="77777777" w:rsidR="0004784E" w:rsidRPr="0004784E" w:rsidRDefault="0004784E" w:rsidP="00EE5C0D">
            <w:pPr>
              <w:jc w:val="both"/>
              <w:rPr>
                <w:rFonts w:ascii="Times New Roman" w:eastAsia="Times New Roman" w:hAnsi="Times New Roman" w:cs="Times New Roman"/>
                <w:szCs w:val="24"/>
              </w:rPr>
            </w:pPr>
            <w:r w:rsidRPr="0004784E">
              <w:rPr>
                <w:rFonts w:ascii="Times New Roman" w:eastAsia="Times New Roman" w:hAnsi="Times New Roman" w:cs="Times New Roman"/>
                <w:b/>
                <w:szCs w:val="24"/>
                <w:lang w:val="es-CO"/>
              </w:rPr>
              <w:t>Tema</w:t>
            </w:r>
          </w:p>
        </w:tc>
        <w:tc>
          <w:tcPr>
            <w:tcW w:w="0" w:type="auto"/>
            <w:tcBorders>
              <w:top w:val="nil"/>
              <w:left w:val="nil"/>
              <w:bottom w:val="nil"/>
              <w:right w:val="nil"/>
            </w:tcBorders>
            <w:shd w:val="clear" w:color="auto" w:fill="auto"/>
            <w:hideMark/>
          </w:tcPr>
          <w:p w14:paraId="790E50E8" w14:textId="77777777" w:rsidR="0004784E" w:rsidRPr="0004784E" w:rsidRDefault="0004784E" w:rsidP="00EE5C0D">
            <w:pPr>
              <w:jc w:val="both"/>
              <w:rPr>
                <w:rFonts w:ascii="Times New Roman" w:eastAsia="Times New Roman" w:hAnsi="Times New Roman" w:cs="Times New Roman"/>
                <w:szCs w:val="24"/>
              </w:rPr>
            </w:pPr>
            <w:r w:rsidRPr="0004784E">
              <w:rPr>
                <w:rFonts w:ascii="Times New Roman" w:eastAsia="Times New Roman" w:hAnsi="Times New Roman" w:cs="Times New Roman"/>
                <w:szCs w:val="24"/>
                <w:lang w:val="es-CO"/>
              </w:rPr>
              <w:t> </w:t>
            </w:r>
          </w:p>
        </w:tc>
        <w:tc>
          <w:tcPr>
            <w:tcW w:w="0" w:type="auto"/>
            <w:tcBorders>
              <w:top w:val="nil"/>
              <w:left w:val="nil"/>
              <w:bottom w:val="nil"/>
              <w:right w:val="nil"/>
            </w:tcBorders>
            <w:shd w:val="clear" w:color="auto" w:fill="auto"/>
            <w:hideMark/>
          </w:tcPr>
          <w:p w14:paraId="3542DB27" w14:textId="77777777" w:rsidR="0004784E" w:rsidRPr="0004784E" w:rsidRDefault="0004784E" w:rsidP="00EE5C0D">
            <w:pPr>
              <w:jc w:val="both"/>
              <w:rPr>
                <w:rFonts w:ascii="Times New Roman" w:eastAsia="Times New Roman" w:hAnsi="Times New Roman" w:cs="Times New Roman"/>
                <w:szCs w:val="24"/>
              </w:rPr>
            </w:pPr>
            <w:r w:rsidRPr="0004784E">
              <w:rPr>
                <w:rFonts w:ascii="Times New Roman" w:eastAsia="Times New Roman" w:hAnsi="Times New Roman" w:cs="Times New Roman"/>
                <w:szCs w:val="24"/>
                <w:lang w:val="es-CO"/>
              </w:rPr>
              <w:t> </w:t>
            </w:r>
          </w:p>
        </w:tc>
        <w:tc>
          <w:tcPr>
            <w:tcW w:w="0" w:type="auto"/>
            <w:tcBorders>
              <w:top w:val="nil"/>
              <w:left w:val="nil"/>
              <w:bottom w:val="nil"/>
              <w:right w:val="nil"/>
            </w:tcBorders>
            <w:shd w:val="clear" w:color="auto" w:fill="auto"/>
            <w:hideMark/>
          </w:tcPr>
          <w:p w14:paraId="60DE3F35" w14:textId="77777777" w:rsidR="0004784E" w:rsidRPr="0004784E" w:rsidRDefault="0004784E" w:rsidP="00EE5C0D">
            <w:pPr>
              <w:jc w:val="both"/>
              <w:rPr>
                <w:rFonts w:ascii="Times New Roman" w:eastAsia="Times New Roman" w:hAnsi="Times New Roman" w:cs="Times New Roman"/>
                <w:szCs w:val="24"/>
                <w:lang w:val="es-CO"/>
              </w:rPr>
            </w:pPr>
            <w:r w:rsidRPr="0004784E">
              <w:rPr>
                <w:rFonts w:ascii="Times New Roman" w:eastAsia="Times New Roman" w:hAnsi="Times New Roman" w:cs="Times New Roman"/>
                <w:szCs w:val="24"/>
                <w:lang w:val="es-CO"/>
              </w:rPr>
              <w:t>Impuesto sobre la renta y complementarios</w:t>
            </w:r>
          </w:p>
        </w:tc>
      </w:tr>
      <w:tr w:rsidR="0004784E" w:rsidRPr="0004784E" w14:paraId="0A70FDBD" w14:textId="77777777" w:rsidTr="0004784E">
        <w:tc>
          <w:tcPr>
            <w:tcW w:w="0" w:type="auto"/>
            <w:tcBorders>
              <w:top w:val="nil"/>
              <w:left w:val="nil"/>
              <w:bottom w:val="nil"/>
              <w:right w:val="nil"/>
            </w:tcBorders>
            <w:shd w:val="clear" w:color="auto" w:fill="auto"/>
            <w:hideMark/>
          </w:tcPr>
          <w:p w14:paraId="2E382412" w14:textId="77777777" w:rsidR="0004784E" w:rsidRPr="0004784E" w:rsidRDefault="0004784E" w:rsidP="00EE5C0D">
            <w:pPr>
              <w:jc w:val="both"/>
              <w:rPr>
                <w:rFonts w:ascii="Times New Roman" w:eastAsia="Times New Roman" w:hAnsi="Times New Roman" w:cs="Times New Roman"/>
                <w:szCs w:val="24"/>
              </w:rPr>
            </w:pPr>
            <w:r w:rsidRPr="0004784E">
              <w:rPr>
                <w:rFonts w:ascii="Times New Roman" w:eastAsia="Times New Roman" w:hAnsi="Times New Roman" w:cs="Times New Roman"/>
                <w:b/>
                <w:szCs w:val="24"/>
                <w:lang w:val="es-CO"/>
              </w:rPr>
              <w:t>Descriptores</w:t>
            </w:r>
          </w:p>
        </w:tc>
        <w:tc>
          <w:tcPr>
            <w:tcW w:w="0" w:type="auto"/>
            <w:tcBorders>
              <w:top w:val="nil"/>
              <w:left w:val="nil"/>
              <w:bottom w:val="nil"/>
              <w:right w:val="nil"/>
            </w:tcBorders>
            <w:shd w:val="clear" w:color="auto" w:fill="auto"/>
            <w:hideMark/>
          </w:tcPr>
          <w:p w14:paraId="3ACC8BC6" w14:textId="77777777" w:rsidR="0004784E" w:rsidRPr="0004784E" w:rsidRDefault="0004784E" w:rsidP="00EE5C0D">
            <w:pPr>
              <w:jc w:val="both"/>
              <w:rPr>
                <w:rFonts w:ascii="Times New Roman" w:eastAsia="Times New Roman" w:hAnsi="Times New Roman" w:cs="Times New Roman"/>
                <w:szCs w:val="24"/>
              </w:rPr>
            </w:pPr>
            <w:r w:rsidRPr="0004784E">
              <w:rPr>
                <w:rFonts w:ascii="Times New Roman" w:eastAsia="Times New Roman" w:hAnsi="Times New Roman" w:cs="Times New Roman"/>
                <w:szCs w:val="24"/>
                <w:lang w:val="es-CO"/>
              </w:rPr>
              <w:t> </w:t>
            </w:r>
          </w:p>
        </w:tc>
        <w:tc>
          <w:tcPr>
            <w:tcW w:w="0" w:type="auto"/>
            <w:tcBorders>
              <w:top w:val="nil"/>
              <w:left w:val="nil"/>
              <w:bottom w:val="nil"/>
              <w:right w:val="nil"/>
            </w:tcBorders>
            <w:shd w:val="clear" w:color="auto" w:fill="auto"/>
            <w:hideMark/>
          </w:tcPr>
          <w:p w14:paraId="541AFE79" w14:textId="77777777" w:rsidR="0004784E" w:rsidRPr="0004784E" w:rsidRDefault="0004784E" w:rsidP="00EE5C0D">
            <w:pPr>
              <w:jc w:val="both"/>
              <w:rPr>
                <w:rFonts w:ascii="Times New Roman" w:eastAsia="Times New Roman" w:hAnsi="Times New Roman" w:cs="Times New Roman"/>
                <w:szCs w:val="24"/>
              </w:rPr>
            </w:pPr>
            <w:r w:rsidRPr="0004784E">
              <w:rPr>
                <w:rFonts w:ascii="Times New Roman" w:eastAsia="Times New Roman" w:hAnsi="Times New Roman" w:cs="Times New Roman"/>
                <w:szCs w:val="24"/>
                <w:lang w:val="es-CO"/>
              </w:rPr>
              <w:t> </w:t>
            </w:r>
          </w:p>
        </w:tc>
        <w:tc>
          <w:tcPr>
            <w:tcW w:w="0" w:type="auto"/>
            <w:tcBorders>
              <w:top w:val="nil"/>
              <w:left w:val="nil"/>
              <w:bottom w:val="nil"/>
              <w:right w:val="nil"/>
            </w:tcBorders>
            <w:shd w:val="clear" w:color="auto" w:fill="auto"/>
            <w:hideMark/>
          </w:tcPr>
          <w:p w14:paraId="2AA1561A" w14:textId="77777777" w:rsidR="0004784E" w:rsidRPr="0004784E" w:rsidRDefault="0004784E" w:rsidP="00EE5C0D">
            <w:pPr>
              <w:jc w:val="both"/>
              <w:rPr>
                <w:rFonts w:ascii="Times New Roman" w:eastAsia="Times New Roman" w:hAnsi="Times New Roman" w:cs="Times New Roman"/>
                <w:szCs w:val="24"/>
              </w:rPr>
            </w:pPr>
            <w:r w:rsidRPr="0004784E">
              <w:rPr>
                <w:rFonts w:ascii="Times New Roman" w:eastAsia="Times New Roman" w:hAnsi="Times New Roman" w:cs="Times New Roman"/>
                <w:szCs w:val="24"/>
                <w:lang w:val="es-CO"/>
              </w:rPr>
              <w:t>Ingresos</w:t>
            </w:r>
          </w:p>
        </w:tc>
      </w:tr>
      <w:tr w:rsidR="0004784E" w:rsidRPr="00EE5C0D" w14:paraId="31D52957" w14:textId="77777777" w:rsidTr="0004784E">
        <w:tc>
          <w:tcPr>
            <w:tcW w:w="0" w:type="auto"/>
            <w:tcBorders>
              <w:top w:val="nil"/>
              <w:left w:val="nil"/>
              <w:bottom w:val="nil"/>
              <w:right w:val="nil"/>
            </w:tcBorders>
            <w:shd w:val="clear" w:color="auto" w:fill="auto"/>
            <w:hideMark/>
          </w:tcPr>
          <w:p w14:paraId="2BC2EA6B" w14:textId="77777777" w:rsidR="0004784E" w:rsidRPr="0004784E" w:rsidRDefault="0004784E" w:rsidP="00EE5C0D">
            <w:pPr>
              <w:jc w:val="both"/>
              <w:rPr>
                <w:rFonts w:ascii="Times New Roman" w:eastAsia="Times New Roman" w:hAnsi="Times New Roman" w:cs="Times New Roman"/>
                <w:szCs w:val="24"/>
              </w:rPr>
            </w:pPr>
            <w:r w:rsidRPr="0004784E">
              <w:rPr>
                <w:rFonts w:ascii="Times New Roman" w:eastAsia="Times New Roman" w:hAnsi="Times New Roman" w:cs="Times New Roman"/>
                <w:b/>
                <w:szCs w:val="24"/>
                <w:lang w:val="es-CO"/>
              </w:rPr>
              <w:t>Fuentes formales</w:t>
            </w:r>
          </w:p>
        </w:tc>
        <w:tc>
          <w:tcPr>
            <w:tcW w:w="0" w:type="auto"/>
            <w:tcBorders>
              <w:top w:val="nil"/>
              <w:left w:val="nil"/>
              <w:bottom w:val="nil"/>
              <w:right w:val="nil"/>
            </w:tcBorders>
            <w:shd w:val="clear" w:color="auto" w:fill="auto"/>
            <w:hideMark/>
          </w:tcPr>
          <w:p w14:paraId="6FA7CB88" w14:textId="77777777" w:rsidR="0004784E" w:rsidRPr="0004784E" w:rsidRDefault="0004784E" w:rsidP="00EE5C0D">
            <w:pPr>
              <w:jc w:val="both"/>
              <w:rPr>
                <w:rFonts w:ascii="Times New Roman" w:eastAsia="Times New Roman" w:hAnsi="Times New Roman" w:cs="Times New Roman"/>
                <w:szCs w:val="24"/>
              </w:rPr>
            </w:pPr>
            <w:r w:rsidRPr="0004784E">
              <w:rPr>
                <w:rFonts w:ascii="Times New Roman" w:eastAsia="Times New Roman" w:hAnsi="Times New Roman" w:cs="Times New Roman"/>
                <w:szCs w:val="24"/>
                <w:lang w:val="es-CO"/>
              </w:rPr>
              <w:t> </w:t>
            </w:r>
          </w:p>
        </w:tc>
        <w:tc>
          <w:tcPr>
            <w:tcW w:w="0" w:type="auto"/>
            <w:tcBorders>
              <w:top w:val="nil"/>
              <w:left w:val="nil"/>
              <w:bottom w:val="nil"/>
              <w:right w:val="nil"/>
            </w:tcBorders>
            <w:shd w:val="clear" w:color="auto" w:fill="auto"/>
            <w:hideMark/>
          </w:tcPr>
          <w:p w14:paraId="1338173F" w14:textId="77777777" w:rsidR="0004784E" w:rsidRPr="0004784E" w:rsidRDefault="0004784E" w:rsidP="00EE5C0D">
            <w:pPr>
              <w:jc w:val="both"/>
              <w:rPr>
                <w:rFonts w:ascii="Times New Roman" w:eastAsia="Times New Roman" w:hAnsi="Times New Roman" w:cs="Times New Roman"/>
                <w:szCs w:val="24"/>
              </w:rPr>
            </w:pPr>
            <w:r w:rsidRPr="0004784E">
              <w:rPr>
                <w:rFonts w:ascii="Times New Roman" w:eastAsia="Times New Roman" w:hAnsi="Times New Roman" w:cs="Times New Roman"/>
                <w:szCs w:val="24"/>
                <w:lang w:val="es-CO"/>
              </w:rPr>
              <w:t> </w:t>
            </w:r>
          </w:p>
        </w:tc>
        <w:tc>
          <w:tcPr>
            <w:tcW w:w="0" w:type="auto"/>
            <w:tcBorders>
              <w:top w:val="nil"/>
              <w:left w:val="nil"/>
              <w:bottom w:val="nil"/>
              <w:right w:val="nil"/>
            </w:tcBorders>
            <w:shd w:val="clear" w:color="auto" w:fill="auto"/>
            <w:hideMark/>
          </w:tcPr>
          <w:p w14:paraId="69E082A8" w14:textId="77777777" w:rsidR="0004784E" w:rsidRPr="0004784E" w:rsidRDefault="0004784E" w:rsidP="00EE5C0D">
            <w:pPr>
              <w:jc w:val="both"/>
              <w:rPr>
                <w:rFonts w:ascii="Times New Roman" w:eastAsia="Times New Roman" w:hAnsi="Times New Roman" w:cs="Times New Roman"/>
                <w:szCs w:val="24"/>
                <w:lang w:val="es-CO"/>
              </w:rPr>
            </w:pPr>
            <w:r w:rsidRPr="0004784E">
              <w:rPr>
                <w:rFonts w:ascii="Times New Roman" w:eastAsia="Times New Roman" w:hAnsi="Times New Roman" w:cs="Times New Roman"/>
                <w:szCs w:val="24"/>
                <w:lang w:val="es-CO"/>
              </w:rPr>
              <w:t xml:space="preserve">Artículos </w:t>
            </w:r>
            <w:hyperlink r:id="rId5" w:tooltip="Estatuto Tributario CETA" w:history="1">
              <w:r w:rsidRPr="0004784E">
                <w:rPr>
                  <w:rFonts w:ascii="Times New Roman" w:eastAsia="Times New Roman" w:hAnsi="Times New Roman" w:cs="Times New Roman"/>
                  <w:szCs w:val="24"/>
                  <w:u w:val="single"/>
                  <w:lang w:val="es-CO"/>
                </w:rPr>
                <w:t>26</w:t>
              </w:r>
            </w:hyperlink>
            <w:r w:rsidRPr="0004784E">
              <w:rPr>
                <w:rFonts w:ascii="Times New Roman" w:eastAsia="Times New Roman" w:hAnsi="Times New Roman" w:cs="Times New Roman"/>
                <w:szCs w:val="24"/>
                <w:lang w:val="es-CO"/>
              </w:rPr>
              <w:t xml:space="preserve">, </w:t>
            </w:r>
            <w:hyperlink r:id="rId6" w:tooltip="Estatuto Tributario CETA" w:history="1">
              <w:r w:rsidRPr="0004784E">
                <w:rPr>
                  <w:rFonts w:ascii="Times New Roman" w:eastAsia="Times New Roman" w:hAnsi="Times New Roman" w:cs="Times New Roman"/>
                  <w:szCs w:val="24"/>
                  <w:u w:val="single"/>
                  <w:lang w:val="es-CO"/>
                </w:rPr>
                <w:t>145</w:t>
              </w:r>
            </w:hyperlink>
            <w:r w:rsidRPr="0004784E">
              <w:rPr>
                <w:rFonts w:ascii="Times New Roman" w:eastAsia="Times New Roman" w:hAnsi="Times New Roman" w:cs="Times New Roman"/>
                <w:szCs w:val="24"/>
                <w:lang w:val="es-CO"/>
              </w:rPr>
              <w:t xml:space="preserve">, </w:t>
            </w:r>
            <w:hyperlink r:id="rId7" w:tooltip="Estatuto Tributario CETA" w:history="1">
              <w:r w:rsidRPr="0004784E">
                <w:rPr>
                  <w:rFonts w:ascii="Times New Roman" w:eastAsia="Times New Roman" w:hAnsi="Times New Roman" w:cs="Times New Roman"/>
                  <w:szCs w:val="24"/>
                  <w:u w:val="single"/>
                  <w:lang w:val="es-CO"/>
                </w:rPr>
                <w:t>261</w:t>
              </w:r>
            </w:hyperlink>
            <w:r w:rsidRPr="0004784E">
              <w:rPr>
                <w:rFonts w:ascii="Times New Roman" w:eastAsia="Times New Roman" w:hAnsi="Times New Roman" w:cs="Times New Roman"/>
                <w:szCs w:val="24"/>
                <w:lang w:val="es-CO"/>
              </w:rPr>
              <w:t xml:space="preserve">, </w:t>
            </w:r>
            <w:hyperlink r:id="rId8" w:tooltip="Estatuto Tributario CETA" w:history="1">
              <w:r w:rsidRPr="0004784E">
                <w:rPr>
                  <w:rFonts w:ascii="Times New Roman" w:eastAsia="Times New Roman" w:hAnsi="Times New Roman" w:cs="Times New Roman"/>
                  <w:szCs w:val="24"/>
                  <w:u w:val="single"/>
                  <w:lang w:val="es-CO"/>
                </w:rPr>
                <w:t>282</w:t>
              </w:r>
            </w:hyperlink>
            <w:r w:rsidRPr="0004784E">
              <w:rPr>
                <w:rFonts w:ascii="Times New Roman" w:eastAsia="Times New Roman" w:hAnsi="Times New Roman" w:cs="Times New Roman"/>
                <w:szCs w:val="24"/>
                <w:lang w:val="es-CO"/>
              </w:rPr>
              <w:t xml:space="preserve"> del Estatuto Tributario</w:t>
            </w:r>
          </w:p>
          <w:p w14:paraId="65015EC4" w14:textId="77777777" w:rsidR="0004784E" w:rsidRPr="0004784E" w:rsidRDefault="0004784E" w:rsidP="00EE5C0D">
            <w:pPr>
              <w:jc w:val="both"/>
              <w:rPr>
                <w:rFonts w:ascii="Times New Roman" w:eastAsia="Times New Roman" w:hAnsi="Times New Roman" w:cs="Times New Roman"/>
                <w:szCs w:val="24"/>
                <w:lang w:val="es-CO"/>
              </w:rPr>
            </w:pPr>
            <w:r w:rsidRPr="0004784E">
              <w:rPr>
                <w:rFonts w:ascii="Times New Roman" w:eastAsia="Times New Roman" w:hAnsi="Times New Roman" w:cs="Times New Roman"/>
                <w:szCs w:val="24"/>
                <w:lang w:val="es-CO"/>
              </w:rPr>
              <w:t>Oficio 015166 del 25 de mayo de 2015</w:t>
            </w:r>
          </w:p>
          <w:p w14:paraId="009D6916" w14:textId="77777777" w:rsidR="0004784E" w:rsidRPr="0004784E" w:rsidRDefault="0004784E" w:rsidP="00EE5C0D">
            <w:pPr>
              <w:jc w:val="both"/>
              <w:rPr>
                <w:rFonts w:ascii="Times New Roman" w:eastAsia="Times New Roman" w:hAnsi="Times New Roman" w:cs="Times New Roman"/>
                <w:szCs w:val="24"/>
                <w:lang w:val="es-CO"/>
              </w:rPr>
            </w:pPr>
            <w:r w:rsidRPr="0004784E">
              <w:rPr>
                <w:rFonts w:ascii="Times New Roman" w:eastAsia="Times New Roman" w:hAnsi="Times New Roman" w:cs="Times New Roman"/>
                <w:szCs w:val="24"/>
                <w:lang w:val="es-CO"/>
              </w:rPr>
              <w:t>Oficio 901161 del 17 de marzo de 2017</w:t>
            </w:r>
          </w:p>
        </w:tc>
      </w:tr>
    </w:tbl>
    <w:p w14:paraId="599FB8DC" w14:textId="77777777" w:rsidR="0004784E" w:rsidRPr="0004784E" w:rsidRDefault="0004784E" w:rsidP="00EE5C0D">
      <w:pPr>
        <w:jc w:val="both"/>
        <w:rPr>
          <w:rFonts w:ascii="Times New Roman" w:eastAsia="Times New Roman" w:hAnsi="Times New Roman" w:cs="Times New Roman"/>
          <w:szCs w:val="24"/>
          <w:lang w:val="es-CO"/>
        </w:rPr>
      </w:pPr>
      <w:r w:rsidRPr="0004784E">
        <w:rPr>
          <w:rFonts w:ascii="Times New Roman" w:eastAsia="Times New Roman" w:hAnsi="Times New Roman" w:cs="Times New Roman"/>
          <w:szCs w:val="24"/>
          <w:lang w:val="es-CO"/>
        </w:rPr>
        <w:t> </w:t>
      </w:r>
    </w:p>
    <w:p w14:paraId="5F83B57C" w14:textId="77777777" w:rsidR="0004784E" w:rsidRPr="0004784E" w:rsidRDefault="0004784E" w:rsidP="00EE5C0D">
      <w:pPr>
        <w:jc w:val="both"/>
        <w:rPr>
          <w:rFonts w:ascii="Times New Roman" w:eastAsia="Times New Roman" w:hAnsi="Times New Roman" w:cs="Times New Roman"/>
          <w:szCs w:val="24"/>
          <w:lang w:val="es-CO"/>
        </w:rPr>
      </w:pPr>
      <w:r w:rsidRPr="0004784E">
        <w:rPr>
          <w:rFonts w:ascii="Times New Roman" w:eastAsia="Times New Roman" w:hAnsi="Times New Roman" w:cs="Times New Roman"/>
          <w:szCs w:val="24"/>
          <w:lang w:val="es-CO"/>
        </w:rPr>
        <w:t> </w:t>
      </w:r>
    </w:p>
    <w:p w14:paraId="5AD64B3C" w14:textId="77777777" w:rsidR="0004784E" w:rsidRPr="0004784E" w:rsidRDefault="0004784E" w:rsidP="00EE5C0D">
      <w:pPr>
        <w:jc w:val="both"/>
        <w:rPr>
          <w:rFonts w:ascii="Times New Roman" w:eastAsia="Times New Roman" w:hAnsi="Times New Roman" w:cs="Times New Roman"/>
          <w:szCs w:val="24"/>
          <w:lang w:val="es-CO"/>
        </w:rPr>
      </w:pPr>
      <w:r w:rsidRPr="0004784E">
        <w:rPr>
          <w:rFonts w:ascii="Times New Roman" w:eastAsia="Times New Roman" w:hAnsi="Times New Roman" w:cs="Times New Roman"/>
          <w:szCs w:val="24"/>
          <w:lang w:val="es-CO"/>
        </w:rPr>
        <w:t>De conformidad con el artículo 20 del Decreto número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14:paraId="6A1119EE" w14:textId="77777777" w:rsidR="0004784E" w:rsidRPr="0004784E" w:rsidRDefault="0004784E" w:rsidP="00EE5C0D">
      <w:pPr>
        <w:jc w:val="both"/>
        <w:rPr>
          <w:rFonts w:ascii="Times New Roman" w:eastAsia="Times New Roman" w:hAnsi="Times New Roman" w:cs="Times New Roman"/>
          <w:szCs w:val="24"/>
          <w:lang w:val="es-CO"/>
        </w:rPr>
      </w:pPr>
      <w:r w:rsidRPr="0004784E">
        <w:rPr>
          <w:rFonts w:ascii="Times New Roman" w:eastAsia="Times New Roman" w:hAnsi="Times New Roman" w:cs="Times New Roman"/>
          <w:szCs w:val="24"/>
          <w:lang w:val="es-CO"/>
        </w:rPr>
        <w:t> </w:t>
      </w:r>
    </w:p>
    <w:p w14:paraId="2D1CB733" w14:textId="77777777" w:rsidR="0004784E" w:rsidRPr="0004784E" w:rsidRDefault="0004784E" w:rsidP="00EE5C0D">
      <w:pPr>
        <w:jc w:val="both"/>
        <w:rPr>
          <w:rFonts w:ascii="Times New Roman" w:eastAsia="Times New Roman" w:hAnsi="Times New Roman" w:cs="Times New Roman"/>
          <w:szCs w:val="24"/>
          <w:lang w:val="es-CO"/>
        </w:rPr>
      </w:pPr>
      <w:r w:rsidRPr="0004784E">
        <w:rPr>
          <w:rFonts w:ascii="Times New Roman" w:eastAsia="Times New Roman" w:hAnsi="Times New Roman" w:cs="Times New Roman"/>
          <w:szCs w:val="24"/>
          <w:lang w:val="es-CO"/>
        </w:rPr>
        <w:t>Mediante el radicado de la referencia pregunta cuál es el tratamiento tributario aplicable a las condonaciones de deudas, entre compañías vinculadas a partes relacionadas.</w:t>
      </w:r>
    </w:p>
    <w:p w14:paraId="41ACDD0B" w14:textId="77777777" w:rsidR="0004784E" w:rsidRPr="0004784E" w:rsidRDefault="0004784E" w:rsidP="00EE5C0D">
      <w:pPr>
        <w:jc w:val="both"/>
        <w:rPr>
          <w:rFonts w:ascii="Times New Roman" w:eastAsia="Times New Roman" w:hAnsi="Times New Roman" w:cs="Times New Roman"/>
          <w:szCs w:val="24"/>
          <w:lang w:val="es-CO"/>
        </w:rPr>
      </w:pPr>
      <w:r w:rsidRPr="0004784E">
        <w:rPr>
          <w:rFonts w:ascii="Times New Roman" w:eastAsia="Times New Roman" w:hAnsi="Times New Roman" w:cs="Times New Roman"/>
          <w:szCs w:val="24"/>
          <w:lang w:val="es-CO"/>
        </w:rPr>
        <w:t> </w:t>
      </w:r>
    </w:p>
    <w:p w14:paraId="1FA8CDB5" w14:textId="77777777" w:rsidR="0004784E" w:rsidRPr="0004784E" w:rsidRDefault="0004784E" w:rsidP="00EE5C0D">
      <w:pPr>
        <w:jc w:val="both"/>
        <w:rPr>
          <w:rFonts w:ascii="Times New Roman" w:eastAsia="Times New Roman" w:hAnsi="Times New Roman" w:cs="Times New Roman"/>
          <w:szCs w:val="24"/>
          <w:lang w:val="es-CO"/>
        </w:rPr>
      </w:pPr>
      <w:r w:rsidRPr="00EE5C0D">
        <w:rPr>
          <w:rFonts w:ascii="Times New Roman" w:eastAsia="Times New Roman" w:hAnsi="Times New Roman" w:cs="Times New Roman"/>
          <w:szCs w:val="24"/>
          <w:highlight w:val="green"/>
          <w:lang w:val="es-CO"/>
        </w:rPr>
        <w:t xml:space="preserve">Sobre la figura de la condonación este despacho (Oficios 015166 del 25 de mayo de 2015 y 901161 del 17 de marzo de 2017) con base en lo señalado en los artículos </w:t>
      </w:r>
      <w:hyperlink r:id="rId9" w:tooltip="Estatuto Tributario CETA" w:history="1">
        <w:r w:rsidRPr="00EE5C0D">
          <w:rPr>
            <w:rFonts w:ascii="Times New Roman" w:eastAsia="Times New Roman" w:hAnsi="Times New Roman" w:cs="Times New Roman"/>
            <w:szCs w:val="24"/>
            <w:highlight w:val="green"/>
            <w:u w:val="single"/>
            <w:lang w:val="es-CO"/>
          </w:rPr>
          <w:t>26</w:t>
        </w:r>
      </w:hyperlink>
      <w:r w:rsidRPr="00EE5C0D">
        <w:rPr>
          <w:rFonts w:ascii="Times New Roman" w:eastAsia="Times New Roman" w:hAnsi="Times New Roman" w:cs="Times New Roman"/>
          <w:szCs w:val="24"/>
          <w:highlight w:val="green"/>
          <w:lang w:val="es-CO"/>
        </w:rPr>
        <w:t xml:space="preserve">, </w:t>
      </w:r>
      <w:hyperlink r:id="rId10" w:tooltip="Estatuto Tributario CETA" w:history="1">
        <w:r w:rsidRPr="00EE5C0D">
          <w:rPr>
            <w:rFonts w:ascii="Times New Roman" w:eastAsia="Times New Roman" w:hAnsi="Times New Roman" w:cs="Times New Roman"/>
            <w:szCs w:val="24"/>
            <w:highlight w:val="green"/>
            <w:u w:val="single"/>
            <w:lang w:val="es-CO"/>
          </w:rPr>
          <w:t>261</w:t>
        </w:r>
      </w:hyperlink>
      <w:r w:rsidRPr="00EE5C0D">
        <w:rPr>
          <w:rFonts w:ascii="Times New Roman" w:eastAsia="Times New Roman" w:hAnsi="Times New Roman" w:cs="Times New Roman"/>
          <w:szCs w:val="24"/>
          <w:highlight w:val="green"/>
          <w:lang w:val="es-CO"/>
        </w:rPr>
        <w:t xml:space="preserve">, </w:t>
      </w:r>
      <w:hyperlink r:id="rId11" w:tooltip="Estatuto Tributario CETA" w:history="1">
        <w:r w:rsidRPr="00EE5C0D">
          <w:rPr>
            <w:rFonts w:ascii="Times New Roman" w:eastAsia="Times New Roman" w:hAnsi="Times New Roman" w:cs="Times New Roman"/>
            <w:szCs w:val="24"/>
            <w:highlight w:val="green"/>
            <w:u w:val="single"/>
            <w:lang w:val="es-CO"/>
          </w:rPr>
          <w:t>282</w:t>
        </w:r>
      </w:hyperlink>
      <w:r w:rsidRPr="00EE5C0D">
        <w:rPr>
          <w:rFonts w:ascii="Times New Roman" w:eastAsia="Times New Roman" w:hAnsi="Times New Roman" w:cs="Times New Roman"/>
          <w:szCs w:val="24"/>
          <w:highlight w:val="green"/>
          <w:lang w:val="es-CO"/>
        </w:rPr>
        <w:t xml:space="preserve"> del Estatuto Tributario ha interpretado que, según la legislación colombiana, este se erige como una de las formas de extinguir las obligaciones de forma unilateral, en la que el acreedor libera al deudor del cumplimiento de la prestación a la que se encontraba obligado y que en materia fiscal implica que ocurren dos situaciones frente al acreedor y el condonado.</w:t>
      </w:r>
    </w:p>
    <w:p w14:paraId="29E86302" w14:textId="77777777" w:rsidR="0004784E" w:rsidRPr="0004784E" w:rsidRDefault="0004784E" w:rsidP="00EE5C0D">
      <w:pPr>
        <w:jc w:val="both"/>
        <w:rPr>
          <w:rFonts w:ascii="Times New Roman" w:eastAsia="Times New Roman" w:hAnsi="Times New Roman" w:cs="Times New Roman"/>
          <w:szCs w:val="24"/>
          <w:lang w:val="es-CO"/>
        </w:rPr>
      </w:pPr>
      <w:r w:rsidRPr="0004784E">
        <w:rPr>
          <w:rFonts w:ascii="Times New Roman" w:eastAsia="Times New Roman" w:hAnsi="Times New Roman" w:cs="Times New Roman"/>
          <w:szCs w:val="24"/>
          <w:lang w:val="es-CO"/>
        </w:rPr>
        <w:lastRenderedPageBreak/>
        <w:t> </w:t>
      </w:r>
    </w:p>
    <w:p w14:paraId="532B1DCA" w14:textId="77777777" w:rsidR="0004784E" w:rsidRPr="0004784E" w:rsidRDefault="0004784E" w:rsidP="00EE5C0D">
      <w:pPr>
        <w:jc w:val="both"/>
        <w:rPr>
          <w:rFonts w:ascii="Times New Roman" w:eastAsia="Times New Roman" w:hAnsi="Times New Roman" w:cs="Times New Roman"/>
          <w:szCs w:val="24"/>
          <w:lang w:val="es-CO"/>
        </w:rPr>
      </w:pPr>
      <w:r w:rsidRPr="00EE5C0D">
        <w:rPr>
          <w:rFonts w:ascii="Times New Roman" w:eastAsia="Times New Roman" w:hAnsi="Times New Roman" w:cs="Times New Roman"/>
          <w:szCs w:val="24"/>
          <w:highlight w:val="green"/>
          <w:lang w:val="es-CO"/>
        </w:rPr>
        <w:t>Frente al acreedor que condona la deuda, se genera una aminoración en su patrimonio como consecuencia de dicho acto.</w:t>
      </w:r>
    </w:p>
    <w:p w14:paraId="3822B4F6" w14:textId="77777777" w:rsidR="0004784E" w:rsidRPr="0004784E" w:rsidRDefault="0004784E" w:rsidP="00EE5C0D">
      <w:pPr>
        <w:jc w:val="both"/>
        <w:rPr>
          <w:rFonts w:ascii="Times New Roman" w:eastAsia="Times New Roman" w:hAnsi="Times New Roman" w:cs="Times New Roman"/>
          <w:szCs w:val="24"/>
          <w:lang w:val="es-CO"/>
        </w:rPr>
      </w:pPr>
      <w:r w:rsidRPr="0004784E">
        <w:rPr>
          <w:rFonts w:ascii="Times New Roman" w:eastAsia="Times New Roman" w:hAnsi="Times New Roman" w:cs="Times New Roman"/>
          <w:szCs w:val="24"/>
          <w:lang w:val="es-CO"/>
        </w:rPr>
        <w:t> </w:t>
      </w:r>
    </w:p>
    <w:p w14:paraId="26850E65" w14:textId="77777777" w:rsidR="0004784E" w:rsidRPr="00EE5C0D" w:rsidRDefault="0004784E" w:rsidP="00EE5C0D">
      <w:pPr>
        <w:jc w:val="both"/>
        <w:rPr>
          <w:rFonts w:ascii="Times New Roman" w:eastAsia="Times New Roman" w:hAnsi="Times New Roman" w:cs="Times New Roman"/>
          <w:b/>
          <w:bCs/>
          <w:sz w:val="32"/>
          <w:szCs w:val="32"/>
          <w:u w:val="single"/>
          <w:lang w:val="es-CO"/>
        </w:rPr>
      </w:pPr>
      <w:r w:rsidRPr="00EE5C0D">
        <w:rPr>
          <w:rFonts w:ascii="Times New Roman" w:eastAsia="Times New Roman" w:hAnsi="Times New Roman" w:cs="Times New Roman"/>
          <w:sz w:val="32"/>
          <w:szCs w:val="32"/>
          <w:highlight w:val="yellow"/>
          <w:lang w:val="es-CO"/>
        </w:rPr>
        <w:t xml:space="preserve">En cabeza del condonado se genera un correlativo ingreso, en virtud de un acto espontáneo, que debe ser gravado para efectos del impuesto sobre la renta y complementario, </w:t>
      </w:r>
      <w:r w:rsidRPr="00EE5C0D">
        <w:rPr>
          <w:rFonts w:ascii="Times New Roman" w:eastAsia="Times New Roman" w:hAnsi="Times New Roman" w:cs="Times New Roman"/>
          <w:b/>
          <w:bCs/>
          <w:sz w:val="32"/>
          <w:szCs w:val="32"/>
          <w:highlight w:val="yellow"/>
          <w:u w:val="single"/>
          <w:lang w:val="es-CO"/>
        </w:rPr>
        <w:t>toda vez que dicha condonación genera un incremento dentro de su patrimonio.</w:t>
      </w:r>
    </w:p>
    <w:p w14:paraId="5986080A" w14:textId="77777777" w:rsidR="0004784E" w:rsidRPr="0004784E" w:rsidRDefault="0004784E" w:rsidP="00EE5C0D">
      <w:pPr>
        <w:jc w:val="both"/>
        <w:rPr>
          <w:rFonts w:ascii="Times New Roman" w:eastAsia="Times New Roman" w:hAnsi="Times New Roman" w:cs="Times New Roman"/>
          <w:szCs w:val="24"/>
          <w:lang w:val="es-CO"/>
        </w:rPr>
      </w:pPr>
      <w:r w:rsidRPr="0004784E">
        <w:rPr>
          <w:rFonts w:ascii="Times New Roman" w:eastAsia="Times New Roman" w:hAnsi="Times New Roman" w:cs="Times New Roman"/>
          <w:szCs w:val="24"/>
          <w:lang w:val="es-CO"/>
        </w:rPr>
        <w:t> </w:t>
      </w:r>
    </w:p>
    <w:p w14:paraId="05EF4F30" w14:textId="77777777" w:rsidR="0004784E" w:rsidRPr="00EE5C0D" w:rsidRDefault="0004784E" w:rsidP="00EE5C0D">
      <w:pPr>
        <w:jc w:val="both"/>
        <w:rPr>
          <w:rFonts w:ascii="Times New Roman" w:eastAsia="Times New Roman" w:hAnsi="Times New Roman" w:cs="Times New Roman"/>
          <w:sz w:val="32"/>
          <w:szCs w:val="32"/>
          <w:lang w:val="es-CO"/>
        </w:rPr>
      </w:pPr>
      <w:r w:rsidRPr="00EE5C0D">
        <w:rPr>
          <w:rFonts w:ascii="Times New Roman" w:eastAsia="Times New Roman" w:hAnsi="Times New Roman" w:cs="Times New Roman"/>
          <w:sz w:val="32"/>
          <w:szCs w:val="32"/>
          <w:lang w:val="es-CO"/>
        </w:rPr>
        <w:t xml:space="preserve">Así las cosas, este ingreso deberá incluirse por el condonado en su declaración de renta como un ingreso ordinario o extraordinario </w:t>
      </w:r>
      <w:r w:rsidRPr="00EE5C0D">
        <w:rPr>
          <w:rFonts w:ascii="Times New Roman" w:eastAsia="Times New Roman" w:hAnsi="Times New Roman" w:cs="Times New Roman"/>
          <w:b/>
          <w:bCs/>
          <w:sz w:val="32"/>
          <w:szCs w:val="32"/>
          <w:highlight w:val="yellow"/>
          <w:lang w:val="es-CO"/>
        </w:rPr>
        <w:t>(ganancia ocasional),</w:t>
      </w:r>
      <w:r w:rsidRPr="00EE5C0D">
        <w:rPr>
          <w:rFonts w:ascii="Times New Roman" w:eastAsia="Times New Roman" w:hAnsi="Times New Roman" w:cs="Times New Roman"/>
          <w:sz w:val="32"/>
          <w:szCs w:val="32"/>
          <w:lang w:val="es-CO"/>
        </w:rPr>
        <w:t xml:space="preserve"> análisis que corresponderá en efecto al contribuyente, según su situación particular.</w:t>
      </w:r>
    </w:p>
    <w:p w14:paraId="48BD98F6" w14:textId="77777777" w:rsidR="0004784E" w:rsidRPr="0004784E" w:rsidRDefault="0004784E" w:rsidP="00EE5C0D">
      <w:pPr>
        <w:jc w:val="both"/>
        <w:rPr>
          <w:rFonts w:ascii="Times New Roman" w:eastAsia="Times New Roman" w:hAnsi="Times New Roman" w:cs="Times New Roman"/>
          <w:szCs w:val="24"/>
          <w:lang w:val="es-CO"/>
        </w:rPr>
      </w:pPr>
      <w:r w:rsidRPr="0004784E">
        <w:rPr>
          <w:rFonts w:ascii="Times New Roman" w:eastAsia="Times New Roman" w:hAnsi="Times New Roman" w:cs="Times New Roman"/>
          <w:szCs w:val="24"/>
          <w:lang w:val="es-CO"/>
        </w:rPr>
        <w:t> </w:t>
      </w:r>
    </w:p>
    <w:p w14:paraId="2CA1FBDF" w14:textId="77777777" w:rsidR="0004784E" w:rsidRPr="0004784E" w:rsidRDefault="0004784E" w:rsidP="00EE5C0D">
      <w:pPr>
        <w:jc w:val="both"/>
        <w:rPr>
          <w:rFonts w:ascii="Times New Roman" w:eastAsia="Times New Roman" w:hAnsi="Times New Roman" w:cs="Times New Roman"/>
          <w:szCs w:val="24"/>
          <w:lang w:val="es-CO"/>
        </w:rPr>
      </w:pPr>
      <w:r w:rsidRPr="0004784E">
        <w:rPr>
          <w:rFonts w:ascii="Times New Roman" w:eastAsia="Times New Roman" w:hAnsi="Times New Roman" w:cs="Times New Roman"/>
          <w:szCs w:val="24"/>
          <w:lang w:val="es-CO"/>
        </w:rPr>
        <w:t>Para este despacho la anterior interpretación resulta plenamente para el caso materia de consulta, pues se trata del tratamiento fiscal de cara al impuesto sobre la renta y complementario de la condonación, sin que haya un tratamiento diferencial en las normas analizadas por la doctrina anteriormente mencionada para compañías vinculadas.</w:t>
      </w:r>
    </w:p>
    <w:p w14:paraId="5D486011" w14:textId="77777777" w:rsidR="0004784E" w:rsidRPr="0004784E" w:rsidRDefault="0004784E" w:rsidP="00EE5C0D">
      <w:pPr>
        <w:jc w:val="both"/>
        <w:rPr>
          <w:rFonts w:ascii="Times New Roman" w:eastAsia="Times New Roman" w:hAnsi="Times New Roman" w:cs="Times New Roman"/>
          <w:szCs w:val="24"/>
          <w:lang w:val="es-CO"/>
        </w:rPr>
      </w:pPr>
      <w:r w:rsidRPr="0004784E">
        <w:rPr>
          <w:rFonts w:ascii="Times New Roman" w:eastAsia="Times New Roman" w:hAnsi="Times New Roman" w:cs="Times New Roman"/>
          <w:szCs w:val="24"/>
          <w:lang w:val="es-CO"/>
        </w:rPr>
        <w:t> </w:t>
      </w:r>
    </w:p>
    <w:p w14:paraId="3C9A6602" w14:textId="77777777" w:rsidR="0004784E" w:rsidRPr="0004784E" w:rsidRDefault="0004784E" w:rsidP="00EE5C0D">
      <w:pPr>
        <w:jc w:val="both"/>
        <w:rPr>
          <w:rFonts w:ascii="Times New Roman" w:eastAsia="Times New Roman" w:hAnsi="Times New Roman" w:cs="Times New Roman"/>
          <w:szCs w:val="24"/>
          <w:lang w:val="es-CO"/>
        </w:rPr>
      </w:pPr>
      <w:r w:rsidRPr="0004784E">
        <w:rPr>
          <w:rFonts w:ascii="Times New Roman" w:eastAsia="Times New Roman" w:hAnsi="Times New Roman" w:cs="Times New Roman"/>
          <w:szCs w:val="24"/>
          <w:lang w:val="es-CO"/>
        </w:rPr>
        <w:t xml:space="preserve">Sin perjuicio de lo anteriormente mencionado, el </w:t>
      </w:r>
      <w:hyperlink r:id="rId12" w:tooltip="Estatuto Tributario CETA" w:history="1">
        <w:r w:rsidRPr="0004784E">
          <w:rPr>
            <w:rFonts w:ascii="Times New Roman" w:eastAsia="Times New Roman" w:hAnsi="Times New Roman" w:cs="Times New Roman"/>
            <w:szCs w:val="24"/>
            <w:u w:val="single"/>
            <w:lang w:val="es-CO"/>
          </w:rPr>
          <w:t>artículo 145</w:t>
        </w:r>
      </w:hyperlink>
      <w:r w:rsidRPr="0004784E">
        <w:rPr>
          <w:rFonts w:ascii="Times New Roman" w:eastAsia="Times New Roman" w:hAnsi="Times New Roman" w:cs="Times New Roman"/>
          <w:szCs w:val="24"/>
          <w:lang w:val="es-CO"/>
        </w:rPr>
        <w:t xml:space="preserve"> del Estatuto Tributario (modificado por el artículo 87 de la Ley 1819 de 2016) que consagra la posibilidad de deducir para los contribuyentes obligados a llevar contabilidad, cantidades razonables que fije el reglamento como deterioro de cartera de dudoso o difícil cobro, con el cumplimiento de los requisitos allí señalados, en su inciso segundo no le reconoce el carácter de difícil cobro a deudas contraídas entre sí por empresas o personas económicamente vinculadas, o por los socios para con la sociedad, o viceversa.</w:t>
      </w:r>
    </w:p>
    <w:p w14:paraId="0A4841E8" w14:textId="77777777" w:rsidR="0004784E" w:rsidRPr="0004784E" w:rsidRDefault="0004784E" w:rsidP="00EE5C0D">
      <w:pPr>
        <w:jc w:val="both"/>
        <w:rPr>
          <w:rFonts w:ascii="Times New Roman" w:eastAsia="Times New Roman" w:hAnsi="Times New Roman" w:cs="Times New Roman"/>
          <w:szCs w:val="24"/>
          <w:lang w:val="es-CO"/>
        </w:rPr>
      </w:pPr>
      <w:r w:rsidRPr="0004784E">
        <w:rPr>
          <w:rFonts w:ascii="Times New Roman" w:eastAsia="Times New Roman" w:hAnsi="Times New Roman" w:cs="Times New Roman"/>
          <w:szCs w:val="24"/>
          <w:lang w:val="es-CO"/>
        </w:rPr>
        <w:t> </w:t>
      </w:r>
    </w:p>
    <w:p w14:paraId="11151955" w14:textId="77777777" w:rsidR="0004784E" w:rsidRPr="0004784E" w:rsidRDefault="0004784E" w:rsidP="00EE5C0D">
      <w:pPr>
        <w:jc w:val="both"/>
        <w:rPr>
          <w:rFonts w:ascii="Times New Roman" w:eastAsia="Times New Roman" w:hAnsi="Times New Roman" w:cs="Times New Roman"/>
          <w:szCs w:val="24"/>
          <w:lang w:val="es-CO"/>
        </w:rPr>
      </w:pPr>
      <w:r w:rsidRPr="0004784E">
        <w:rPr>
          <w:rFonts w:ascii="Times New Roman" w:eastAsia="Times New Roman" w:hAnsi="Times New Roman" w:cs="Times New Roman"/>
          <w:szCs w:val="24"/>
          <w:lang w:val="es-CO"/>
        </w:rPr>
        <w:t>También recuerde que al tratarse de operaciones con vinculados del exterior se deberá cumplir con el Régimen de Precios de Transferencia.</w:t>
      </w:r>
    </w:p>
    <w:p w14:paraId="71798042" w14:textId="77777777" w:rsidR="0004784E" w:rsidRPr="0004784E" w:rsidRDefault="0004784E" w:rsidP="00EE5C0D">
      <w:pPr>
        <w:jc w:val="both"/>
        <w:rPr>
          <w:rFonts w:ascii="Times New Roman" w:eastAsia="Times New Roman" w:hAnsi="Times New Roman" w:cs="Times New Roman"/>
          <w:szCs w:val="24"/>
          <w:lang w:val="es-CO"/>
        </w:rPr>
      </w:pPr>
      <w:r w:rsidRPr="0004784E">
        <w:rPr>
          <w:rFonts w:ascii="Times New Roman" w:eastAsia="Times New Roman" w:hAnsi="Times New Roman" w:cs="Times New Roman"/>
          <w:szCs w:val="24"/>
          <w:lang w:val="es-CO"/>
        </w:rPr>
        <w:t> </w:t>
      </w:r>
    </w:p>
    <w:p w14:paraId="20E34FE9" w14:textId="3A3855A8" w:rsidR="0004784E" w:rsidRPr="0004784E" w:rsidRDefault="0004784E" w:rsidP="00EE5C0D">
      <w:pPr>
        <w:jc w:val="both"/>
        <w:rPr>
          <w:rFonts w:ascii="Times New Roman" w:eastAsia="Times New Roman" w:hAnsi="Times New Roman" w:cs="Times New Roman"/>
          <w:szCs w:val="24"/>
          <w:lang w:val="es-CO"/>
        </w:rPr>
      </w:pPr>
      <w:r w:rsidRPr="0004784E">
        <w:rPr>
          <w:rFonts w:ascii="Times New Roman" w:eastAsia="Times New Roman" w:hAnsi="Times New Roman" w:cs="Times New Roman"/>
          <w:szCs w:val="24"/>
          <w:lang w:val="es-CO"/>
        </w:rPr>
        <w:t>Atentamente,</w:t>
      </w:r>
    </w:p>
    <w:p w14:paraId="4B7D6055" w14:textId="77777777" w:rsidR="0004784E" w:rsidRPr="0004784E" w:rsidRDefault="0004784E" w:rsidP="00EE5C0D">
      <w:pPr>
        <w:jc w:val="both"/>
        <w:rPr>
          <w:rFonts w:ascii="Times New Roman" w:eastAsia="Times New Roman" w:hAnsi="Times New Roman" w:cs="Times New Roman"/>
          <w:szCs w:val="24"/>
          <w:lang w:val="es-CO"/>
        </w:rPr>
      </w:pPr>
      <w:r w:rsidRPr="0004784E">
        <w:rPr>
          <w:rFonts w:ascii="Times New Roman" w:eastAsia="Times New Roman" w:hAnsi="Times New Roman" w:cs="Times New Roman"/>
          <w:szCs w:val="24"/>
          <w:lang w:val="es-CO"/>
        </w:rPr>
        <w:t> </w:t>
      </w:r>
    </w:p>
    <w:p w14:paraId="33141905" w14:textId="514C10CF" w:rsidR="0004784E" w:rsidRPr="0004784E" w:rsidRDefault="0004784E" w:rsidP="00EE5C0D">
      <w:pPr>
        <w:jc w:val="both"/>
        <w:rPr>
          <w:rFonts w:ascii="Times New Roman" w:eastAsia="Times New Roman" w:hAnsi="Times New Roman" w:cs="Times New Roman"/>
          <w:szCs w:val="24"/>
          <w:lang w:val="es-CO"/>
        </w:rPr>
      </w:pPr>
      <w:r w:rsidRPr="0004784E">
        <w:rPr>
          <w:rFonts w:ascii="Times New Roman" w:eastAsia="Times New Roman" w:hAnsi="Times New Roman" w:cs="Times New Roman"/>
          <w:b/>
          <w:szCs w:val="24"/>
          <w:lang w:val="es-CO"/>
        </w:rPr>
        <w:t>LORENZO CASTILLO BARVO</w:t>
      </w:r>
    </w:p>
    <w:p w14:paraId="2510A25F" w14:textId="77777777" w:rsidR="0004784E" w:rsidRPr="0004784E" w:rsidRDefault="0004784E" w:rsidP="00EE5C0D">
      <w:pPr>
        <w:jc w:val="both"/>
        <w:rPr>
          <w:rFonts w:ascii="Times New Roman" w:eastAsia="Times New Roman" w:hAnsi="Times New Roman" w:cs="Times New Roman"/>
          <w:szCs w:val="24"/>
          <w:lang w:val="es-CO"/>
        </w:rPr>
      </w:pPr>
      <w:r w:rsidRPr="0004784E">
        <w:rPr>
          <w:rFonts w:ascii="Times New Roman" w:eastAsia="Times New Roman" w:hAnsi="Times New Roman" w:cs="Times New Roman"/>
          <w:szCs w:val="24"/>
          <w:lang w:val="es-CO"/>
        </w:rPr>
        <w:t>Subdirector de Gestión Normativa y Doctrina (E)</w:t>
      </w:r>
    </w:p>
    <w:p w14:paraId="0A31C9EB" w14:textId="77777777" w:rsidR="0004784E" w:rsidRPr="0004784E" w:rsidRDefault="0004784E" w:rsidP="00EE5C0D">
      <w:pPr>
        <w:jc w:val="both"/>
        <w:rPr>
          <w:rFonts w:ascii="Times New Roman" w:eastAsia="Times New Roman" w:hAnsi="Times New Roman" w:cs="Times New Roman"/>
          <w:szCs w:val="24"/>
          <w:lang w:val="es-CO"/>
        </w:rPr>
      </w:pPr>
      <w:r w:rsidRPr="0004784E">
        <w:rPr>
          <w:rFonts w:ascii="Times New Roman" w:eastAsia="Times New Roman" w:hAnsi="Times New Roman" w:cs="Times New Roman"/>
          <w:szCs w:val="24"/>
          <w:lang w:val="es-CO"/>
        </w:rPr>
        <w:t>Dirección de Gestión Jurídica</w:t>
      </w:r>
    </w:p>
    <w:p w14:paraId="331BE0B6" w14:textId="77777777" w:rsidR="0004784E" w:rsidRPr="0004784E" w:rsidRDefault="0004784E" w:rsidP="00EE5C0D">
      <w:pPr>
        <w:jc w:val="both"/>
        <w:rPr>
          <w:rFonts w:ascii="Times New Roman" w:eastAsia="Times New Roman" w:hAnsi="Times New Roman" w:cs="Times New Roman"/>
          <w:szCs w:val="24"/>
          <w:lang w:val="es-CO"/>
        </w:rPr>
      </w:pPr>
      <w:r w:rsidRPr="0004784E">
        <w:rPr>
          <w:rFonts w:ascii="Times New Roman" w:eastAsia="Times New Roman" w:hAnsi="Times New Roman" w:cs="Times New Roman"/>
          <w:szCs w:val="24"/>
          <w:lang w:val="es-CO"/>
        </w:rPr>
        <w:t>UAE-DIAN</w:t>
      </w:r>
    </w:p>
    <w:sectPr w:rsidR="0004784E" w:rsidRPr="0004784E" w:rsidSect="000D334B">
      <w:pgSz w:w="12191" w:h="1871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84E"/>
    <w:rsid w:val="0004784E"/>
    <w:rsid w:val="000D334B"/>
    <w:rsid w:val="00BF3A8B"/>
    <w:rsid w:val="00EE5C0D"/>
    <w:rsid w:val="00F44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E29E1"/>
  <w15:chartTrackingRefBased/>
  <w15:docId w15:val="{CFE9F742-DFEF-45F3-999E-F0A2905E5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26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35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ta.org.co/html/vista_de_un_articulo.asp?Norma=336" TargetMode="External"/><Relationship Id="rId12" Type="http://schemas.openxmlformats.org/officeDocument/2006/relationships/hyperlink" Target="https://www.ceta.org.co/html/vista_de_un_articulo.asp?Norma=20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207" TargetMode="External"/><Relationship Id="rId11" Type="http://schemas.openxmlformats.org/officeDocument/2006/relationships/hyperlink" Target="https://www.ceta.org.co/html/vista_de_un_articulo.asp?Norma=359" TargetMode="External"/><Relationship Id="rId5" Type="http://schemas.openxmlformats.org/officeDocument/2006/relationships/hyperlink" Target="https://www.ceta.org.co/html/vista_de_un_articulo.asp?Norma=56" TargetMode="External"/><Relationship Id="rId10" Type="http://schemas.openxmlformats.org/officeDocument/2006/relationships/hyperlink" Target="https://www.ceta.org.co/html/vista_de_un_articulo.asp?Norma=336" TargetMode="External"/><Relationship Id="rId4" Type="http://schemas.openxmlformats.org/officeDocument/2006/relationships/hyperlink" Target="mailto:wiojeda@gmail.com" TargetMode="External"/><Relationship Id="rId9" Type="http://schemas.openxmlformats.org/officeDocument/2006/relationships/hyperlink" Target="https://www.ceta.org.co/html/vista_de_un_articulo.asp?Norma=56"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656</Words>
  <Characters>3611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Guillermo Alzate Duque</cp:lastModifiedBy>
  <cp:revision>2</cp:revision>
  <dcterms:created xsi:type="dcterms:W3CDTF">2021-06-30T15:13:00Z</dcterms:created>
  <dcterms:modified xsi:type="dcterms:W3CDTF">2021-06-30T15:13:00Z</dcterms:modified>
</cp:coreProperties>
</file>